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2017年安徽蚌埠中考</w:t>
      </w:r>
      <w:r>
        <w:rPr>
          <w:rFonts w:hint="eastAsia"/>
          <w:b/>
          <w:bCs/>
        </w:rPr>
        <w:t>思想品德试题（开卷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</w:t>
      </w:r>
      <w:bookmarkStart w:id="0" w:name="_GoBack"/>
      <w:bookmarkEnd w:id="0"/>
      <w:r>
        <w:rPr>
          <w:rFonts w:hint="eastAsia"/>
        </w:rPr>
        <w:t>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B.战胜挫折C.生命的长短D.劳动、创造和奉献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A.人们的行为与后果之间具有一致性B.所有不负责任的行为都要受到刑罚处罚</w:t>
      </w:r>
    </w:p>
    <w:p>
      <w:r>
        <w:rPr>
          <w:rFonts w:hint="eastAsia"/>
        </w:rPr>
        <w:t>C.违法行为与法律责任间无必然联系D.人们的不同行为所产生的结果基本相同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A.在社会生活中具有保护作用B.只打击有严重社会危害性的行为</w:t>
      </w:r>
    </w:p>
    <w:p>
      <w:r>
        <w:rPr>
          <w:rFonts w:hint="eastAsia"/>
        </w:rPr>
        <w:t>C.对公民的隐私进行特殊保护D.是由国家制定或认可的行为规范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B.确保了经济社会持续健康的发展</w:t>
      </w:r>
    </w:p>
    <w:p>
      <w:r>
        <w:rPr>
          <w:rFonts w:hint="eastAsia"/>
        </w:rPr>
        <w:t>C.我国当前产权保护制度已经完善 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②④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 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2017年安徽蚌埠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6F50FCE"/>
    <w:rsid w:val="0A440B76"/>
    <w:rsid w:val="19703666"/>
    <w:rsid w:val="19815ABE"/>
    <w:rsid w:val="1BC15047"/>
    <w:rsid w:val="1ED05A23"/>
    <w:rsid w:val="248947E4"/>
    <w:rsid w:val="284147FE"/>
    <w:rsid w:val="33471598"/>
    <w:rsid w:val="4B0877C5"/>
    <w:rsid w:val="4C911DBC"/>
    <w:rsid w:val="526C42D8"/>
    <w:rsid w:val="5A5123CC"/>
    <w:rsid w:val="5D9779D3"/>
    <w:rsid w:val="6167577F"/>
    <w:rsid w:val="69B3540E"/>
    <w:rsid w:val="6AFB6BD1"/>
    <w:rsid w:val="700F2223"/>
    <w:rsid w:val="70D363F3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2017-10-19T07:28:57Z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