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22"/>
        </w:rPr>
      </w:pPr>
      <w:r>
        <w:rPr>
          <w:rFonts w:hint="eastAsia" w:ascii="黑体" w:hAnsi="黑体" w:eastAsia="黑体"/>
          <w:b/>
          <w:color w:val="FF0000"/>
          <w:sz w:val="32"/>
          <w:szCs w:val="30"/>
        </w:rPr>
        <w:t>2021年山东省济宁市中考物理真题</w:t>
      </w:r>
    </w:p>
    <w:p>
      <w:r>
        <w:rPr>
          <w:rFonts w:hint="eastAsia" w:ascii="Times New Roman" w:hAnsi="Times New Roman" w:eastAsia="新宋体"/>
          <w:b/>
          <w:szCs w:val="21"/>
        </w:rPr>
        <w:t>一、选择题（下列各题的四个选项中，只有一项符合题意，每小题2分，共20分）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1．淡水资源缺乏已是一个世界性的普遍现象，利用太阳能、海水等资源获得淡水具有重要的战略意义。如图为小明设计的太阳能海水淡化器，在海水淡化过程中发生的物态变化是（　　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170305" cy="968375"/>
            <wp:effectExtent l="1905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737" cy="97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A．先升华后液化</w:t>
      </w:r>
      <w:r>
        <w:tab/>
      </w:r>
      <w:r>
        <w:rPr>
          <w:rFonts w:hint="eastAsia" w:ascii="Times New Roman" w:hAnsi="Times New Roman" w:eastAsia="新宋体"/>
          <w:szCs w:val="21"/>
        </w:rPr>
        <w:t>B．先汽化后液化</w:t>
      </w:r>
      <w:r>
        <w:tab/>
      </w:r>
    </w:p>
    <w:p>
      <w:pPr>
        <w:tabs>
          <w:tab w:val="left" w:pos="4400"/>
        </w:tabs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C．先汽化后凝华</w:t>
      </w:r>
      <w:r>
        <w:tab/>
      </w:r>
      <w:r>
        <w:rPr>
          <w:rFonts w:hint="eastAsia" w:ascii="Times New Roman" w:hAnsi="Times New Roman" w:eastAsia="新宋体"/>
          <w:szCs w:val="21"/>
        </w:rPr>
        <w:t>D．先液化后汽化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2．关于声现象，下列说法正确的是（　　）</w:t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A．声音的传播速度为340m/s</w:t>
      </w:r>
      <w:r>
        <w:tab/>
      </w:r>
      <w:r>
        <w:rPr>
          <w:rFonts w:hint="eastAsia" w:ascii="Times New Roman" w:hAnsi="Times New Roman" w:eastAsia="新宋体"/>
          <w:szCs w:val="21"/>
        </w:rPr>
        <w:t>B．只要物体在振动，人就能听到声音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C．超声具有很强的穿透能力</w:t>
      </w:r>
      <w:r>
        <w:tab/>
      </w:r>
      <w:r>
        <w:rPr>
          <w:rFonts w:hint="eastAsia" w:ascii="Times New Roman" w:hAnsi="Times New Roman" w:eastAsia="新宋体"/>
          <w:szCs w:val="21"/>
        </w:rPr>
        <w:t>D．增大拨动琴弦力度会增大振动频率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3．下列选项错误的是（　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819"/>
        <w:gridCol w:w="2442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914400" cy="1314450"/>
                  <wp:effectExtent l="0" t="0" r="0" b="0"/>
                  <wp:docPr id="31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131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028700" cy="1171575"/>
                  <wp:effectExtent l="0" t="0" r="0" b="0"/>
                  <wp:docPr id="32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428750" cy="1419225"/>
                  <wp:effectExtent l="0" t="0" r="0" b="0"/>
                  <wp:docPr id="33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0" cy="141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543050" cy="1352550"/>
                  <wp:effectExtent l="0" t="0" r="0" b="0"/>
                  <wp:docPr id="34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6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A．汽油机的此冲程内能转化为机械能</w:t>
            </w:r>
          </w:p>
        </w:tc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B．该器材可验证压强与受力面积的关系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C．该实验可验证电流周围存在磁场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D．用该实验装探究电热与电阻的关系</w:t>
            </w:r>
          </w:p>
        </w:tc>
      </w:tr>
    </w:tbl>
    <w:p>
      <w:pPr>
        <w:ind w:firstLine="273" w:firstLineChars="130"/>
        <w:jc w:val="left"/>
      </w:pPr>
      <w:r>
        <w:tab/>
      </w:r>
      <w:r>
        <w:rPr>
          <w:rFonts w:hint="eastAsia" w:ascii="Times New Roman" w:hAnsi="Times New Roman" w:eastAsia="新宋体"/>
          <w:szCs w:val="21"/>
        </w:rPr>
        <w:t>4．甲、乙两物体从同一位置沿同一方向作直线运动，其s﹣t图像如图所示，其中甲的图线为直线。下列分析正确的是（　　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066925" cy="145732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A．甲、乙两物体是从同一地点同时出发的</w:t>
      </w:r>
      <w:r>
        <w:tab/>
      </w:r>
      <w:r>
        <w:rPr>
          <w:rFonts w:hint="eastAsia" w:ascii="Times New Roman" w:hAnsi="Times New Roman" w:eastAsia="新宋体"/>
          <w:szCs w:val="21"/>
        </w:rPr>
        <w:t>B．以乙物体为参照物，甲物体一直在运动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C．第4s～第19s，甲和乙的平均速度相等</w:t>
      </w:r>
      <w:r>
        <w:tab/>
      </w:r>
      <w:r>
        <w:rPr>
          <w:rFonts w:hint="eastAsia"/>
        </w:rPr>
        <w:t xml:space="preserve">  </w:t>
      </w:r>
      <w:r>
        <w:rPr>
          <w:rFonts w:hint="eastAsia" w:ascii="Times New Roman" w:hAnsi="Times New Roman" w:eastAsia="新宋体"/>
          <w:szCs w:val="21"/>
        </w:rPr>
        <w:t>D．整个过程中，甲的速度总是大于乙的速度</w:t>
      </w:r>
    </w:p>
    <w:p>
      <w:pPr>
        <w:ind w:left="273" w:hanging="273" w:hangingChars="13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5．对下列四幅图的描述，选项正确的是（　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780"/>
        <w:gridCol w:w="211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438275" cy="1009650"/>
                  <wp:effectExtent l="0" t="0" r="0" b="0"/>
                  <wp:docPr id="35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009650" cy="485775"/>
                  <wp:effectExtent l="0" t="0" r="0" b="0"/>
                  <wp:docPr id="36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228725" cy="781050"/>
                  <wp:effectExtent l="0" t="0" r="0" b="0"/>
                  <wp:docPr id="37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266825" cy="1123950"/>
                  <wp:effectExtent l="0" t="0" r="0" b="0"/>
                  <wp:docPr id="38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A．平面镜成像：通过玻璃板看到的像是蜡烛的虚像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B．小孔成像：通过小孔只能成倒立、缩小的实像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C．漫反射：发生漫反射时，有些光线不再遵循光的反射定律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D．光的色散：光的色散属于光的反射现象</w:t>
            </w:r>
          </w:p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6．如图是小明对一些知识的分类和举例，其中正确的是（　　）</w:t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00300" cy="9810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57450" cy="101917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47925" cy="101917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76500" cy="104775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7．如图是一种温度自动报警器的原理图，在水银温度计中封入一段金属丝，金属丝下端所指示的温度为90℃。下列说法错误的是（　　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257425" cy="118110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A．报警器利用了水银导电和热胀冷缩的性质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B．报警器利用了电磁铁通电时有磁性、断电时磁性消失的特点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C．报警器中水银温度计和电磁铁串联在电路中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D．温度达到90℃时，报警器中的灯亮同时铃响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8．结合图中信息，得出结论正确的选项是（　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1686"/>
        <w:gridCol w:w="248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581150" cy="1104900"/>
                  <wp:effectExtent l="0" t="0" r="0" b="0"/>
                  <wp:docPr id="39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371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962025" cy="1095375"/>
                  <wp:effectExtent l="0" t="0" r="0" b="0"/>
                  <wp:docPr id="40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0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485900" cy="981075"/>
                  <wp:effectExtent l="0" t="0" r="0" b="0"/>
                  <wp:docPr id="41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08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981075" cy="1028700"/>
                  <wp:effectExtent l="0" t="0" r="0" b="0"/>
                  <wp:docPr id="42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A．用天平和量筒测物块的密度：测量值等于铝的密度，说明该物块一定是铝块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B．向两张白纸中间吹气：两张白纸会靠拢，说明气体流速大的地方压强小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C．用针筒抽取半筒水，食指按住筒嘴，用力推活塞：发现水不容易被压缩，推测水分子间没有间隙</w:t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D．在沙滩中通过卫星给家里打电话：会感到对方的反应有些延迟，推测电磁波的速度等于声速</w:t>
            </w:r>
          </w:p>
        </w:tc>
      </w:tr>
    </w:tbl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9．下列分析判断错误的是（　　）</w:t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A．船闸利用了连通器的原理</w:t>
      </w:r>
      <w:r>
        <w:tab/>
      </w:r>
      <w:r>
        <w:rPr>
          <w:rFonts w:hint="eastAsia" w:ascii="Times New Roman" w:hAnsi="Times New Roman" w:eastAsia="新宋体"/>
          <w:szCs w:val="21"/>
        </w:rPr>
        <w:t>B．物体速度改变，一定受到力的作用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C．电能表是测量消耗电能的仪表</w:t>
      </w:r>
      <w:r>
        <w:tab/>
      </w:r>
      <w:r>
        <w:rPr>
          <w:rFonts w:hint="eastAsia" w:ascii="Times New Roman" w:hAnsi="Times New Roman" w:eastAsia="新宋体"/>
          <w:szCs w:val="21"/>
        </w:rPr>
        <w:t>D．发光二极管是由超导材料制成的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10．如图所示，电源电压保持不变，滑动变阻器R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的最大阻值为20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，小灯泡的电阻R</w:t>
      </w:r>
      <w:r>
        <w:rPr>
          <w:rFonts w:hint="eastAsia" w:ascii="Times New Roman" w:hAnsi="Times New Roman" w:eastAsia="新宋体"/>
          <w:sz w:val="24"/>
          <w:vertAlign w:val="subscript"/>
        </w:rPr>
        <w:t>L</w:t>
      </w:r>
      <w:r>
        <w:rPr>
          <w:rFonts w:hint="eastAsia" w:ascii="Times New Roman" w:hAnsi="Times New Roman" w:eastAsia="新宋体"/>
          <w:szCs w:val="21"/>
        </w:rPr>
        <w:t>＝8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＜R</w:t>
      </w:r>
      <w:r>
        <w:rPr>
          <w:rFonts w:hint="eastAsia" w:ascii="Times New Roman" w:hAnsi="Times New Roman" w:eastAsia="新宋体"/>
          <w:sz w:val="24"/>
          <w:vertAlign w:val="subscript"/>
        </w:rPr>
        <w:t>L</w:t>
      </w:r>
      <w:r>
        <w:rPr>
          <w:rFonts w:hint="eastAsia" w:ascii="Times New Roman" w:hAnsi="Times New Roman" w:eastAsia="新宋体"/>
          <w:szCs w:val="21"/>
        </w:rPr>
        <w:t>，闭合开关S，当滑片P置于b端时，小灯泡的实际功率为2W，忽略温度对小灯泡电阻的影响，则滑片P置于a端时小灯泡的实际功率可能是（　　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247775" cy="97155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A．10W</w:t>
      </w:r>
      <w:r>
        <w:tab/>
      </w:r>
      <w:r>
        <w:rPr>
          <w:rFonts w:hint="eastAsia" w:ascii="Times New Roman" w:hAnsi="Times New Roman" w:eastAsia="新宋体"/>
          <w:szCs w:val="21"/>
        </w:rPr>
        <w:t>B．15W</w:t>
      </w:r>
      <w:r>
        <w:tab/>
      </w:r>
      <w:r>
        <w:rPr>
          <w:rFonts w:hint="eastAsia" w:ascii="Times New Roman" w:hAnsi="Times New Roman" w:eastAsia="新宋体"/>
          <w:szCs w:val="21"/>
        </w:rPr>
        <w:t>C．25W</w:t>
      </w:r>
      <w:r>
        <w:tab/>
      </w:r>
      <w:r>
        <w:rPr>
          <w:rFonts w:hint="eastAsia" w:ascii="Times New Roman" w:hAnsi="Times New Roman" w:eastAsia="新宋体"/>
          <w:szCs w:val="21"/>
        </w:rPr>
        <w:t>D．30W</w:t>
      </w:r>
    </w:p>
    <w:p>
      <w:r>
        <w:rPr>
          <w:rFonts w:hint="eastAsia" w:ascii="Times New Roman" w:hAnsi="Times New Roman" w:eastAsia="新宋体"/>
          <w:b/>
          <w:szCs w:val="21"/>
        </w:rPr>
        <w:t>二、填空题（每空1分，共12分）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11．重为0.5N、体积为300cm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的小球浸没在水中受到的浮力为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N，水面下20cm深度处水的压强为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Pa。（g取10N/kg）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12．如图所示，长为2m、横截面积为5cm</w:t>
      </w:r>
      <w:r>
        <w:rPr>
          <w:rFonts w:hint="eastAsia" w:ascii="Times New Roman" w:hAnsi="Times New Roman" w:eastAsia="新宋体"/>
          <w:sz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的均匀实心直棒，A端静止在水平地面上，B端被竖直绳悬挂着，绳的拉力为25N，则实心棒的质量为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kg，密度为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kg/m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。（g取10N/kg）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914525" cy="99060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13．蹦蹦杆备受青少年喜爱，图是小明玩蹦蹦杆的情景。小明依靠自身的重力挤压蹦蹦杆下端的弹簧时，原有的重力势能就以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>的形式储存在弹簧中。跃起后，蹦蹦杆离开地面，小明和蹦蹦杆一起向上运动，随后又向下运动。往返多次后，弹簧的温度有所升高，这是通过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>的方式改变了弹簧的内能。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266825" cy="1133475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14．“珍爱生命，安全用电”是同学们日常生活必须具备的安全意识。在家庭电路中，为防止触电事故的发生，必须把用电器的开关安装在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线上，用测电笔辨别火线、零线时，图中执笔方式正确的是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076450" cy="120015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15．完全燃烧140g焦炭所放出的热量有60%被初始温度为10℃、质量为10kg的水吸收，则水吸收的热量为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>J，水的温度将升高到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>℃。[q</w:t>
      </w:r>
      <w:r>
        <w:rPr>
          <w:rFonts w:hint="eastAsia" w:ascii="Times New Roman" w:hAnsi="Times New Roman" w:eastAsia="新宋体"/>
          <w:sz w:val="24"/>
          <w:vertAlign w:val="subscript"/>
        </w:rPr>
        <w:t>焦炭</w:t>
      </w:r>
      <w:r>
        <w:rPr>
          <w:rFonts w:hint="eastAsia" w:ascii="Times New Roman" w:hAnsi="Times New Roman" w:eastAsia="新宋体"/>
          <w:szCs w:val="21"/>
        </w:rPr>
        <w:t>＝3.0×10</w:t>
      </w:r>
      <w:r>
        <w:rPr>
          <w:rFonts w:hint="eastAsia" w:ascii="Times New Roman" w:hAnsi="Times New Roman" w:eastAsia="新宋体"/>
          <w:sz w:val="24"/>
          <w:vertAlign w:val="superscript"/>
        </w:rPr>
        <w:t>7</w:t>
      </w:r>
      <w:r>
        <w:rPr>
          <w:rFonts w:hint="eastAsia" w:ascii="Times New Roman" w:hAnsi="Times New Roman" w:eastAsia="新宋体"/>
          <w:szCs w:val="21"/>
        </w:rPr>
        <w:t>J/kg，c</w:t>
      </w:r>
      <w:r>
        <w:rPr>
          <w:rFonts w:hint="eastAsia" w:ascii="Times New Roman" w:hAnsi="Times New Roman" w:eastAsia="新宋体"/>
          <w:sz w:val="24"/>
          <w:vertAlign w:val="subscript"/>
        </w:rPr>
        <w:t>水</w:t>
      </w:r>
      <w:r>
        <w:rPr>
          <w:rFonts w:hint="eastAsia" w:ascii="Times New Roman" w:hAnsi="Times New Roman" w:eastAsia="新宋体"/>
          <w:szCs w:val="21"/>
        </w:rPr>
        <w:t>＝4.2×10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J/（kg•℃），在1个标准大气压下]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16．将两个不同的小灯泡串联在电路中，发现一个较亮，另一个较暗，则通过较亮灯泡的电流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（选填“大于”“等于”或“小于”）通过较暗灯泡的电流，判断依据是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r>
        <w:rPr>
          <w:rFonts w:hint="eastAsia" w:ascii="Times New Roman" w:hAnsi="Times New Roman" w:eastAsia="新宋体"/>
          <w:b/>
          <w:szCs w:val="21"/>
        </w:rPr>
        <w:t>三、作图与实验题（17题4分，18题6分，19题3分，20题5分，共18分）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17．请按要求完成下列作图。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如图所示，顽皮的小象用力向下压跷跷板，猴子被弹起。不计空气阻力，请画出此时猴子的受力示意图。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666875" cy="714375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18．如图所示，请用笔划线代替导线将实物图补充完整。要求：</w:t>
      </w:r>
      <w:r>
        <w:rPr>
          <w:rFonts w:hint="eastAsia" w:ascii="Times New Roman" w:hAnsi="Times New Roman" w:eastAsia="Calibri"/>
          <w:szCs w:val="21"/>
        </w:rPr>
        <w:t>①</w:t>
      </w:r>
      <w:r>
        <w:rPr>
          <w:rFonts w:hint="eastAsia" w:ascii="Times New Roman" w:hAnsi="Times New Roman" w:eastAsia="新宋体"/>
          <w:szCs w:val="21"/>
        </w:rPr>
        <w:t>小磁针的指向满足如图所示方向；</w:t>
      </w:r>
      <w:r>
        <w:rPr>
          <w:rFonts w:hint="eastAsia" w:ascii="Times New Roman" w:hAnsi="Times New Roman" w:eastAsia="Calibri"/>
          <w:szCs w:val="21"/>
        </w:rPr>
        <w:t>②</w:t>
      </w:r>
      <w:r>
        <w:rPr>
          <w:rFonts w:hint="eastAsia" w:ascii="Times New Roman" w:hAnsi="Times New Roman" w:eastAsia="新宋体"/>
          <w:szCs w:val="21"/>
        </w:rPr>
        <w:t>滑动变阻器的滑片向右端滑动，通电螺线管的磁性减弱。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42845" cy="1409700"/>
            <wp:effectExtent l="1905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738" cy="140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19．结合图中的情景，按要求回答下列问题。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4963160" cy="1495425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（1）甲图：此为简易气压计。拿着它从山脚爬到山顶，不计温度的影响，玻璃管内的液柱会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（选填“升高”“降低”或“不变”）。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（2）乙图：此时他在光屏上呈现清晰像，该像的特点是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（选填“放大、倒立的实像”“缩小、倒立的实像”或“放大、正立的虚像”），这一成像规律揭示了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（选填“幻灯机”“照相机”或”放大镜”）的工作原理。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（3）丙图：把鸡蛋放入清水中，然后逐渐加盐，直至鸡蛋上浮至液面。向水中加盐，改变了液体的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，使鸡蛋受到的浮力增大而上升。鸡蛋在液面静止时，F</w:t>
      </w:r>
      <w:r>
        <w:rPr>
          <w:rFonts w:hint="eastAsia" w:ascii="Times New Roman" w:hAnsi="Times New Roman" w:eastAsia="新宋体"/>
          <w:sz w:val="24"/>
          <w:vertAlign w:val="subscript"/>
        </w:rPr>
        <w:t>浮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G</w:t>
      </w:r>
      <w:r>
        <w:rPr>
          <w:rFonts w:hint="eastAsia" w:ascii="Times New Roman" w:hAnsi="Times New Roman" w:eastAsia="新宋体"/>
          <w:sz w:val="24"/>
          <w:vertAlign w:val="subscript"/>
        </w:rPr>
        <w:t>鸡蛋</w:t>
      </w:r>
      <w:r>
        <w:rPr>
          <w:rFonts w:hint="eastAsia" w:ascii="Times New Roman" w:hAnsi="Times New Roman" w:eastAsia="新宋体"/>
          <w:szCs w:val="21"/>
        </w:rPr>
        <w:t>（选填“＞”“＝”或“＜”），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（4）丁图，此实验装置可探究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（选填“电动机”或“发电机”）的工作原理。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20．在探究”滑动摩擦力的大小与哪些因素有关”的实验中，小明设计了如下方案。</w:t>
      </w:r>
    </w:p>
    <w:tbl>
      <w:tblPr>
        <w:tblStyle w:val="5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76"/>
        <w:gridCol w:w="2643"/>
        <w:gridCol w:w="2643"/>
        <w:gridCol w:w="142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实验步骤</w:t>
            </w:r>
          </w:p>
        </w:tc>
        <w:tc>
          <w:tcPr>
            <w:tcW w:w="8520" w:type="dxa"/>
            <w:gridSpan w:val="2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实验条件</w:t>
            </w:r>
          </w:p>
        </w:tc>
        <w:tc>
          <w:tcPr>
            <w:tcW w:w="213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弹簧测力计示数F/N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  <w:vMerge w:val="continue"/>
          </w:tcPr>
          <w:p/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压力情况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接触面情况</w:t>
            </w:r>
          </w:p>
        </w:tc>
        <w:tc>
          <w:tcPr>
            <w:tcW w:w="2130" w:type="dxa"/>
            <w:vMerge w:val="continue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1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</w:t>
            </w:r>
          </w:p>
        </w:tc>
        <w:tc>
          <w:tcPr>
            <w:tcW w:w="426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木板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2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木块上放1个钩码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3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木块上放2个钩码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4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</w:t>
            </w:r>
          </w:p>
        </w:tc>
        <w:tc>
          <w:tcPr>
            <w:tcW w:w="426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棉布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5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木块上放1个钩码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6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木块上放2个钩码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7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</w:t>
            </w:r>
          </w:p>
        </w:tc>
        <w:tc>
          <w:tcPr>
            <w:tcW w:w="426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毛巾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8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木块上放1个钩码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9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木块上放2个钩码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</w:tbl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（1）通过表中2、5、8三次实验，可以探究滑动摩擦力大小与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的关系。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（2）用弹簧测力计水平拉木块在接触面上匀速滑动时，弹簧测力计对木块的拉力与木块受到的滑动摩擦力大小相等，依据是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（3）实验过程中，当弹簧测力计的示数为0.6N时，木块未被拉动，此时木块所受的摩擦力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（选填“大于”“等于”或“小于”）0.6N。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21．小明在测量小灯泡电功率的实验中，选用的电源电压为4.5V，小灯泡的额定电压为2.5V，电阻约为5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3862070" cy="1296670"/>
            <wp:effectExtent l="19050" t="0" r="4833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675" cy="129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（1）闭合开关前，图甲中滑动变阻器的滑片应位于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（选填“A”或“B”端）。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（2）闭合开关，滑片移动到某位置时，电压表的示数如图乙所示。要获得小灯泡的额定功率的数据，滑片应向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（选填“A”或“B”）端移动。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（3）改变滑片的位置，获得多组对应的电压、电流值，绘制了如图1所示的I﹣U图像。由图像可知，小灯泡的额定功率P</w:t>
      </w:r>
      <w:r>
        <w:rPr>
          <w:rFonts w:hint="eastAsia" w:ascii="Times New Roman" w:hAnsi="Times New Roman" w:eastAsia="新宋体"/>
          <w:sz w:val="24"/>
          <w:vertAlign w:val="subscript"/>
        </w:rPr>
        <w:t>额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W，小灯泡的电阻与其两端电压变化的规律：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（4）小明打算增加个阻值为R</w:t>
      </w:r>
      <w:r>
        <w:rPr>
          <w:rFonts w:hint="eastAsia" w:ascii="Times New Roman" w:hAnsi="Times New Roman" w:eastAsia="新宋体"/>
          <w:sz w:val="24"/>
          <w:vertAlign w:val="subscript"/>
        </w:rPr>
        <w:t>0</w:t>
      </w:r>
      <w:r>
        <w:rPr>
          <w:rFonts w:hint="eastAsia" w:ascii="Times New Roman" w:hAnsi="Times New Roman" w:eastAsia="新宋体"/>
          <w:szCs w:val="21"/>
        </w:rPr>
        <w:t>的电阻，用图2所示的电路测量小灯泡的电功率。闭合开关S、S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，移动滑片P使电压表的示数为U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；保持滑片P位置不动，只断开开关S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，闭合开关S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，记下电压表的示数为U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，则小灯泡的电功率为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。（用已知字母表示）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579370" cy="1411605"/>
            <wp:effectExtent l="1905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300" cy="14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Times New Roman" w:hAnsi="Times New Roman" w:eastAsia="新宋体"/>
          <w:b/>
          <w:szCs w:val="21"/>
        </w:rPr>
        <w:t>四、计算题（21题4分，22题6分，共10分）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22．测算如图所示滑轮组的机械效率时，实验中得到一组数据如表。</w:t>
      </w:r>
    </w:p>
    <w:tbl>
      <w:tblPr>
        <w:tblStyle w:val="5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7"/>
        <w:gridCol w:w="1782"/>
        <w:gridCol w:w="1782"/>
        <w:gridCol w:w="273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钩码重G/N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钩码上升高度h/m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拉力F/N</w:t>
            </w:r>
          </w:p>
        </w:tc>
        <w:tc>
          <w:tcPr>
            <w:tcW w:w="3106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弹簧测力计上升距离s/m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0.5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0.1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0.3</w:t>
            </w:r>
          </w:p>
        </w:tc>
        <w:tc>
          <w:tcPr>
            <w:tcW w:w="3106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0.3</w:t>
            </w:r>
          </w:p>
        </w:tc>
      </w:tr>
    </w:tbl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请根据以上信息，求：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（1）拉力所做的功；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（2）滑轮组的机械效率。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638175" cy="1247775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23．在如图所示的部分电路中，R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为定值电阻，R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为滑动变阻器，电流表的量程为0～0.6A，电压表的量程为0～3V。电源电压恒定，若将a、b分别接在电源两端，电流表的示数为0.4A，电压表的示数为3V。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（1）只将b、c分别接在电源两端，当滑片P滑至中点时，电流表的示数为0.3A，求R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的最大阻值；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（2）只将a、c分别接在电源两端，当滑片P滑至最右端时，求电路的总功率；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（3）将b接在电源的一端，a、c连接后接在电源的另一端，让滑片P由最右端逐渐向左滑动，求R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允许接入电路的最小阻值。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323975" cy="1143000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8" name="图片 100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5D569C"/>
    <w:rsid w:val="00725E43"/>
    <w:rsid w:val="008F5C49"/>
    <w:rsid w:val="00A90D46"/>
    <w:rsid w:val="00AC3770"/>
    <w:rsid w:val="00B26527"/>
    <w:rsid w:val="00C459D8"/>
    <w:rsid w:val="00D462E2"/>
    <w:rsid w:val="00DB58F6"/>
    <w:rsid w:val="00DC19B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uiPriority w:val="0"/>
    <w:rPr>
      <w:sz w:val="18"/>
      <w:szCs w:val="24"/>
    </w:rPr>
  </w:style>
  <w:style w:type="character" w:customStyle="1" w:styleId="9">
    <w:name w:val="页眉 Char"/>
    <w:basedOn w:val="7"/>
    <w:link w:val="4"/>
    <w:uiPriority w:val="0"/>
    <w:rPr>
      <w:sz w:val="18"/>
      <w:szCs w:val="24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Body text|3_"/>
    <w:link w:val="12"/>
    <w:uiPriority w:val="0"/>
    <w:rPr>
      <w:rFonts w:ascii="宋体" w:hAnsi="宋体" w:eastAsia="宋体" w:cs="宋体"/>
      <w:sz w:val="22"/>
      <w:lang w:val="zh-TW" w:eastAsia="zh-TW" w:bidi="zh-TW"/>
    </w:rPr>
  </w:style>
  <w:style w:type="paragraph" w:customStyle="1" w:styleId="12">
    <w:name w:val="Body text|3"/>
    <w:basedOn w:val="1"/>
    <w:link w:val="11"/>
    <w:uiPriority w:val="0"/>
    <w:pPr>
      <w:spacing w:after="260"/>
      <w:jc w:val="center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3">
    <w:name w:val="Body text|2_"/>
    <w:link w:val="14"/>
    <w:uiPriority w:val="0"/>
    <w:rPr>
      <w:rFonts w:ascii="宋体" w:hAnsi="宋体" w:eastAsia="宋体" w:cs="宋体"/>
      <w:color w:val="171416"/>
      <w:sz w:val="13"/>
      <w:szCs w:val="13"/>
      <w:lang w:val="zh-TW" w:eastAsia="zh-TW" w:bidi="zh-TW"/>
    </w:rPr>
  </w:style>
  <w:style w:type="paragraph" w:customStyle="1" w:styleId="14">
    <w:name w:val="Body text|2"/>
    <w:basedOn w:val="1"/>
    <w:link w:val="13"/>
    <w:uiPriority w:val="0"/>
    <w:pPr>
      <w:jc w:val="left"/>
    </w:pPr>
    <w:rPr>
      <w:rFonts w:ascii="宋体" w:hAnsi="宋体" w:eastAsia="宋体" w:cs="宋体"/>
      <w:color w:val="171416"/>
      <w:sz w:val="13"/>
      <w:szCs w:val="13"/>
      <w:lang w:val="zh-TW" w:eastAsia="zh-TW" w:bidi="zh-TW"/>
    </w:rPr>
  </w:style>
  <w:style w:type="character" w:customStyle="1" w:styleId="15">
    <w:name w:val="Heading #1|1_"/>
    <w:link w:val="16"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6">
    <w:name w:val="Heading #1|1"/>
    <w:basedOn w:val="1"/>
    <w:link w:val="15"/>
    <w:uiPriority w:val="0"/>
    <w:pPr>
      <w:spacing w:after="18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17">
    <w:name w:val="Picture caption|1_"/>
    <w:link w:val="18"/>
    <w:qFormat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18">
    <w:name w:val="Picture caption|1"/>
    <w:basedOn w:val="1"/>
    <w:link w:val="17"/>
    <w:uiPriority w:val="0"/>
    <w:pPr>
      <w:spacing w:line="312" w:lineRule="auto"/>
      <w:ind w:left="130" w:hanging="130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19">
    <w:name w:val="Table caption|1_"/>
    <w:link w:val="20"/>
    <w:uiPriority w:val="0"/>
    <w:rPr>
      <w:rFonts w:ascii="宋体" w:hAnsi="宋体" w:eastAsia="宋体" w:cs="宋体"/>
      <w:sz w:val="15"/>
      <w:szCs w:val="15"/>
      <w:lang w:val="zh-TW" w:eastAsia="zh-TW" w:bidi="zh-TW"/>
    </w:rPr>
  </w:style>
  <w:style w:type="paragraph" w:customStyle="1" w:styleId="20">
    <w:name w:val="Table caption|1"/>
    <w:basedOn w:val="1"/>
    <w:link w:val="19"/>
    <w:uiPriority w:val="0"/>
    <w:pPr>
      <w:jc w:val="left"/>
    </w:pPr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21">
    <w:name w:val="Body text|1_"/>
    <w:link w:val="22"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22">
    <w:name w:val="Body text|1"/>
    <w:basedOn w:val="1"/>
    <w:link w:val="21"/>
    <w:uiPriority w:val="0"/>
    <w:pPr>
      <w:spacing w:line="394" w:lineRule="auto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3">
    <w:name w:val="Other|1_"/>
    <w:link w:val="24"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24">
    <w:name w:val="Other|1"/>
    <w:basedOn w:val="1"/>
    <w:link w:val="23"/>
    <w:uiPriority w:val="0"/>
    <w:pPr>
      <w:spacing w:line="394" w:lineRule="auto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5">
    <w:name w:val="Heading #2|1_"/>
    <w:link w:val="26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Heading #2|1"/>
    <w:basedOn w:val="1"/>
    <w:link w:val="25"/>
    <w:uiPriority w:val="0"/>
    <w:pPr>
      <w:ind w:left="10840"/>
      <w:jc w:val="left"/>
      <w:outlineLvl w:val="1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528</Words>
  <Characters>3015</Characters>
  <Lines>25</Lines>
  <Paragraphs>7</Paragraphs>
  <TotalTime>0</TotalTime>
  <ScaleCrop>false</ScaleCrop>
  <LinksUpToDate>false</LinksUpToDate>
  <CharactersWithSpaces>3536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2021-06-19T02:56:00Z</dcterms:created>
  <dc:creator>User</dc:creator>
  <cp:lastModifiedBy>zhanghoufu</cp:lastModifiedBy>
  <dcterms:modified xsi:type="dcterms:W3CDTF">2021-06-22T05:33:29Z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A1FCA33DC56D44FABE8D68645966B2BF</vt:lpwstr>
  </property>
</Properties>
</file>